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626C4" w14:textId="6E9BCC04" w:rsidR="000C1D7B" w:rsidRPr="0029056D" w:rsidRDefault="00452B2A" w:rsidP="0029056D">
      <w:pPr>
        <w:jc w:val="center"/>
        <w:rPr>
          <w:rFonts w:ascii="Arial" w:hAnsi="Arial" w:cs="Arial"/>
          <w:b/>
          <w:bCs/>
        </w:rPr>
      </w:pPr>
      <w:r w:rsidRPr="0029056D">
        <w:rPr>
          <w:rFonts w:ascii="Arial" w:hAnsi="Arial" w:cs="Arial"/>
          <w:b/>
          <w:lang w:val="es-ES_tradnl"/>
        </w:rPr>
        <w:t>TEXTO APROBADO EN LA COMISION PRIMERA DE LA HONORABLE CAMARA DE REPRESENTANTES EN PRIMER DEBATE</w:t>
      </w:r>
      <w:r w:rsidR="002F0CB8" w:rsidRPr="0029056D">
        <w:rPr>
          <w:rFonts w:ascii="Arial" w:hAnsi="Arial" w:cs="Arial"/>
          <w:b/>
          <w:lang w:val="es-ES_tradnl"/>
        </w:rPr>
        <w:t xml:space="preserve"> DEL</w:t>
      </w:r>
      <w:r w:rsidR="00285B71" w:rsidRPr="0029056D">
        <w:rPr>
          <w:rFonts w:ascii="Arial" w:hAnsi="Arial" w:cs="Arial"/>
          <w:b/>
          <w:lang w:val="es-ES_tradnl"/>
        </w:rPr>
        <w:t xml:space="preserve"> </w:t>
      </w:r>
    </w:p>
    <w:p w14:paraId="051DA6D2" w14:textId="13D80D81" w:rsidR="0029056D" w:rsidRDefault="0029056D" w:rsidP="00DD52E6">
      <w:pPr>
        <w:jc w:val="center"/>
        <w:rPr>
          <w:rFonts w:ascii="Arial" w:hAnsi="Arial" w:cs="Arial"/>
          <w:b/>
        </w:rPr>
      </w:pPr>
      <w:r w:rsidRPr="0029056D">
        <w:rPr>
          <w:rFonts w:ascii="Arial" w:hAnsi="Arial" w:cs="Arial"/>
          <w:b/>
          <w:bCs/>
          <w:color w:val="000000"/>
          <w:shd w:val="clear" w:color="auto" w:fill="FFFFFF"/>
        </w:rPr>
        <w:t>PROYECTO DE LEY ESTATUTARIA No 68 DE 2019 CÁMARA</w:t>
      </w:r>
    </w:p>
    <w:p w14:paraId="7392FEE4" w14:textId="06F4964B" w:rsidR="0029056D" w:rsidRPr="0029056D" w:rsidRDefault="0029056D" w:rsidP="0029056D">
      <w:pPr>
        <w:pStyle w:val="Sinespaciado"/>
        <w:jc w:val="center"/>
        <w:rPr>
          <w:rFonts w:ascii="Arial" w:hAnsi="Arial" w:cs="Arial"/>
          <w:b/>
          <w:sz w:val="24"/>
          <w:szCs w:val="24"/>
        </w:rPr>
      </w:pPr>
      <w:r w:rsidRPr="0029056D">
        <w:rPr>
          <w:rFonts w:ascii="Arial" w:hAnsi="Arial" w:cs="Arial"/>
          <w:b/>
          <w:sz w:val="24"/>
          <w:szCs w:val="24"/>
        </w:rPr>
        <w:t>“POR MEDIO DE LA CUAL SE CREA EL BANCO NACIONAL DE DATOS GENÉTICOS VINCULADOS A LA COMISIÓN DE DELITOS VIOLENTOS DE ALTO IMPACTO”</w:t>
      </w:r>
    </w:p>
    <w:p w14:paraId="694965F0" w14:textId="77777777" w:rsidR="0029056D" w:rsidRPr="0029056D" w:rsidRDefault="0029056D" w:rsidP="0029056D">
      <w:pPr>
        <w:pStyle w:val="Sinespaciado"/>
        <w:jc w:val="center"/>
        <w:rPr>
          <w:rFonts w:ascii="Arial" w:hAnsi="Arial" w:cs="Arial"/>
          <w:b/>
          <w:sz w:val="24"/>
          <w:szCs w:val="24"/>
        </w:rPr>
      </w:pPr>
    </w:p>
    <w:p w14:paraId="3F2BD4AD" w14:textId="77777777" w:rsidR="0029056D" w:rsidRPr="0029056D" w:rsidRDefault="0029056D" w:rsidP="0029056D">
      <w:pPr>
        <w:pStyle w:val="Sinespaciado"/>
        <w:jc w:val="center"/>
        <w:rPr>
          <w:rFonts w:ascii="Arial" w:hAnsi="Arial" w:cs="Arial"/>
          <w:b/>
          <w:sz w:val="24"/>
          <w:szCs w:val="24"/>
        </w:rPr>
      </w:pPr>
    </w:p>
    <w:p w14:paraId="3FD8A4CB" w14:textId="77777777" w:rsidR="0029056D" w:rsidRPr="0029056D" w:rsidRDefault="0029056D" w:rsidP="0029056D">
      <w:pPr>
        <w:pStyle w:val="Sinespaciado"/>
        <w:jc w:val="center"/>
        <w:rPr>
          <w:rFonts w:ascii="Arial" w:hAnsi="Arial" w:cs="Arial"/>
          <w:b/>
          <w:sz w:val="24"/>
          <w:szCs w:val="24"/>
        </w:rPr>
      </w:pPr>
      <w:r w:rsidRPr="0029056D">
        <w:rPr>
          <w:rFonts w:ascii="Arial" w:hAnsi="Arial" w:cs="Arial"/>
          <w:b/>
          <w:sz w:val="24"/>
          <w:szCs w:val="24"/>
        </w:rPr>
        <w:t>EL CONGRESO DE COLOMBIA</w:t>
      </w:r>
    </w:p>
    <w:p w14:paraId="0F8AC718" w14:textId="77777777" w:rsidR="0029056D" w:rsidRPr="0029056D" w:rsidRDefault="0029056D" w:rsidP="0029056D">
      <w:pPr>
        <w:pStyle w:val="Sinespaciado"/>
        <w:jc w:val="center"/>
        <w:rPr>
          <w:rFonts w:ascii="Arial" w:hAnsi="Arial" w:cs="Arial"/>
          <w:b/>
          <w:sz w:val="24"/>
          <w:szCs w:val="24"/>
        </w:rPr>
      </w:pPr>
    </w:p>
    <w:p w14:paraId="5D9575CB" w14:textId="77777777" w:rsidR="0029056D" w:rsidRDefault="0029056D" w:rsidP="0029056D">
      <w:pPr>
        <w:pStyle w:val="Sinespaciado"/>
        <w:jc w:val="center"/>
        <w:rPr>
          <w:rFonts w:ascii="Arial" w:hAnsi="Arial" w:cs="Arial"/>
          <w:b/>
          <w:sz w:val="24"/>
          <w:szCs w:val="24"/>
        </w:rPr>
      </w:pPr>
    </w:p>
    <w:p w14:paraId="7536DC34" w14:textId="77777777" w:rsidR="0029056D" w:rsidRPr="0029056D" w:rsidRDefault="0029056D" w:rsidP="0029056D">
      <w:pPr>
        <w:pStyle w:val="Sinespaciado"/>
        <w:jc w:val="center"/>
        <w:rPr>
          <w:rFonts w:ascii="Arial" w:hAnsi="Arial" w:cs="Arial"/>
          <w:b/>
          <w:sz w:val="24"/>
          <w:szCs w:val="24"/>
        </w:rPr>
      </w:pPr>
      <w:r w:rsidRPr="0029056D">
        <w:rPr>
          <w:rFonts w:ascii="Arial" w:hAnsi="Arial" w:cs="Arial"/>
          <w:b/>
          <w:sz w:val="24"/>
          <w:szCs w:val="24"/>
        </w:rPr>
        <w:t>DECRETA:</w:t>
      </w:r>
    </w:p>
    <w:p w14:paraId="5A0499D1" w14:textId="77777777" w:rsidR="0029056D" w:rsidRPr="007B6BE2" w:rsidRDefault="0029056D" w:rsidP="0029056D">
      <w:pPr>
        <w:pStyle w:val="Sinespaciado"/>
        <w:jc w:val="center"/>
        <w:rPr>
          <w:rFonts w:ascii="Arial" w:hAnsi="Arial" w:cs="Arial"/>
          <w:b/>
          <w:sz w:val="24"/>
          <w:szCs w:val="24"/>
        </w:rPr>
      </w:pPr>
    </w:p>
    <w:p w14:paraId="54AABCA3"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1.</w:t>
      </w:r>
      <w:r w:rsidRPr="007B6BE2">
        <w:rPr>
          <w:rFonts w:ascii="Arial" w:hAnsi="Arial" w:cs="Arial"/>
          <w:color w:val="000000"/>
        </w:rPr>
        <w:t xml:space="preserve"> </w:t>
      </w:r>
      <w:r w:rsidRPr="0029056D">
        <w:rPr>
          <w:rFonts w:ascii="Arial" w:hAnsi="Arial" w:cs="Arial"/>
          <w:b/>
          <w:color w:val="000000"/>
        </w:rPr>
        <w:t>Creación:</w:t>
      </w:r>
      <w:r w:rsidRPr="007B6BE2">
        <w:rPr>
          <w:rFonts w:ascii="Arial" w:hAnsi="Arial" w:cs="Arial"/>
          <w:color w:val="000000"/>
        </w:rPr>
        <w:t xml:space="preserve"> Créase, con cargo al Estado y bajo la dirección y coordinación del Instituto Nacional de Medicina Legal y Ciencias Forenses, el Banco Nacional de Datos Genéticos vinculados a la comisión de Delitos violentos de alto impacto en Colombia.</w:t>
      </w:r>
    </w:p>
    <w:p w14:paraId="35139BE5"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ARTÍCULO 2.</w:t>
      </w:r>
      <w:r w:rsidRPr="007B6BE2">
        <w:rPr>
          <w:rFonts w:ascii="Arial" w:hAnsi="Arial" w:cs="Arial"/>
          <w:color w:val="000000"/>
        </w:rPr>
        <w:t xml:space="preserve"> </w:t>
      </w:r>
      <w:r w:rsidRPr="0029056D">
        <w:rPr>
          <w:rFonts w:ascii="Arial" w:hAnsi="Arial" w:cs="Arial"/>
          <w:b/>
          <w:color w:val="000000"/>
        </w:rPr>
        <w:t>Definiciones:</w:t>
      </w:r>
      <w:r w:rsidRPr="007B6BE2">
        <w:rPr>
          <w:rFonts w:ascii="Arial" w:hAnsi="Arial" w:cs="Arial"/>
          <w:color w:val="000000"/>
        </w:rPr>
        <w:t xml:space="preserve"> Para efectos de la presente ley se tendrán en cuenta las siguientes definiciones:</w:t>
      </w:r>
    </w:p>
    <w:p w14:paraId="4C50827F"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14:paraId="47AB27F7"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b) Banco de Perfiles Genéticos: Es una base de datos que contiene los perfiles genéticos obtenidos a partir de las muestras biológicas recuperadas de los restos humanos de las personas.</w:t>
      </w:r>
    </w:p>
    <w:p w14:paraId="0C2902CE"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c) Genotipo: Es el contenido genético de un organismo. La clase de la que se es miembro según el estado de los factores hereditarios internos de un organismo, sus genes y por extensión su genoma.</w:t>
      </w:r>
    </w:p>
    <w:p w14:paraId="1C5D44AC"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d) Fenotipo: Son las propiedades observables de un organismo. La clase de la que se es miembro según las cualidades físicas observables en un organismo, incluyendo su morfología, fisiología y conducta a todos los niveles de descripción.</w:t>
      </w:r>
    </w:p>
    <w:p w14:paraId="412037ED"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 Células Epiteliales: Son un tipo de células que recubren las superficies del cuerpo. Están en la piel, los vasos sanguíneos, el tracto urinario y los órganos.</w:t>
      </w:r>
    </w:p>
    <w:p w14:paraId="0C0E56D8" w14:textId="491DACDB" w:rsidR="0029056D" w:rsidRPr="007B6BE2" w:rsidRDefault="0029056D" w:rsidP="0029056D">
      <w:pPr>
        <w:pStyle w:val="NormalWeb"/>
        <w:jc w:val="both"/>
        <w:rPr>
          <w:rFonts w:ascii="Arial" w:hAnsi="Arial" w:cs="Arial"/>
          <w:color w:val="000000"/>
        </w:rPr>
      </w:pPr>
      <w:r w:rsidRPr="007B6BE2">
        <w:rPr>
          <w:rFonts w:ascii="Arial" w:hAnsi="Arial" w:cs="Arial"/>
          <w:color w:val="000000"/>
        </w:rPr>
        <w:lastRenderedPageBreak/>
        <w:t>f) Delitos violentos de alto impacto: Se entenderán como delitos violentos de alto impacto el delito de homicidi</w:t>
      </w:r>
      <w:r w:rsidR="00BE1AE9">
        <w:rPr>
          <w:rFonts w:ascii="Arial" w:hAnsi="Arial" w:cs="Arial"/>
          <w:color w:val="000000"/>
        </w:rPr>
        <w:t>os tipificado en el Libro II, Tí</w:t>
      </w:r>
      <w:r w:rsidRPr="007B6BE2">
        <w:rPr>
          <w:rFonts w:ascii="Arial" w:hAnsi="Arial" w:cs="Arial"/>
          <w:color w:val="000000"/>
        </w:rPr>
        <w:t>tulo I, Capitulo II de la Ley 599 de 2000 y todos aquellos delitos contra la Libertad e Integridad Sexuales: Son todos aquellos delitos tipificados en el Título IV de la ley 599 de 2000.</w:t>
      </w:r>
    </w:p>
    <w:p w14:paraId="1D26447C"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3</w:t>
      </w:r>
      <w:r w:rsidRPr="007B6BE2">
        <w:rPr>
          <w:rFonts w:ascii="Arial" w:hAnsi="Arial" w:cs="Arial"/>
          <w:color w:val="000000"/>
        </w:rPr>
        <w:t xml:space="preserve">. </w:t>
      </w:r>
      <w:r w:rsidRPr="0029056D">
        <w:rPr>
          <w:rFonts w:ascii="Arial" w:hAnsi="Arial" w:cs="Arial"/>
          <w:b/>
          <w:color w:val="000000"/>
        </w:rPr>
        <w:t>Funciones:</w:t>
      </w:r>
      <w:r w:rsidRPr="007B6BE2">
        <w:rPr>
          <w:rFonts w:ascii="Arial" w:hAnsi="Arial" w:cs="Arial"/>
          <w:color w:val="000000"/>
        </w:rPr>
        <w:t xml:space="preserve"> En virtud de la dirección y coordinación nacional del Banco Nacional de Datos Genéticos vinculados a la comisión de Delitos violentos de alto impacto, el Instituto Nacional de Medicina Legal y Ciencias Forenses tendrá las siguientes funciones:</w:t>
      </w:r>
    </w:p>
    <w:p w14:paraId="601DFC5F"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a) Ingreso, búsqueda, eliminación, reporte de coincidencias y control de calidad de perfiles genéticos; y laboratorios especializados que procesen las muestras positivas analizadas en los laboratorios de biología y genética del mismo Instituto.</w:t>
      </w:r>
    </w:p>
    <w:p w14:paraId="7967B29B"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b) Igualmente se encargara de hacer seguimiento y capacitar a los diferentes organismos que hacen parte del Sistema de Medicina Legal y Ciencias Forenses, respecto al procedimiento de toma de muestra y cadena de custodia.</w:t>
      </w:r>
    </w:p>
    <w:p w14:paraId="1A3BEC4E"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El Gobierno Nacional reglamentará su funcionamiento en un plazo no mayor de ocho (8) meses contados a partir de la entrada en vigencia de la presente ley</w:t>
      </w:r>
    </w:p>
    <w:p w14:paraId="07E539E4"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4°.</w:t>
      </w:r>
      <w:r w:rsidRPr="007B6BE2">
        <w:rPr>
          <w:rFonts w:ascii="Arial" w:hAnsi="Arial" w:cs="Arial"/>
          <w:color w:val="000000"/>
        </w:rPr>
        <w:t xml:space="preserve"> </w:t>
      </w:r>
      <w:r w:rsidRPr="0029056D">
        <w:rPr>
          <w:rFonts w:ascii="Arial" w:hAnsi="Arial" w:cs="Arial"/>
          <w:b/>
          <w:color w:val="000000"/>
        </w:rPr>
        <w:t>Almacenamiento, Sistematización y toma de material genético</w:t>
      </w:r>
      <w:r w:rsidRPr="007B6BE2">
        <w:rPr>
          <w:rFonts w:ascii="Arial" w:hAnsi="Arial" w:cs="Arial"/>
          <w:color w:val="000000"/>
        </w:rPr>
        <w:t xml:space="preserve">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14:paraId="7FEA933A"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14:paraId="651F0923"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lastRenderedPageBreak/>
        <w:t>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estudio del ADN y las sanciones correspondientes.</w:t>
      </w:r>
    </w:p>
    <w:p w14:paraId="72AE614C"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PARAGRAFO PRIMERO</w:t>
      </w:r>
      <w:r w:rsidRPr="007B6BE2">
        <w:rPr>
          <w:rFonts w:ascii="Arial" w:hAnsi="Arial" w:cs="Arial"/>
          <w:color w:val="000000"/>
        </w:rPr>
        <w:t>: El Banco Nacional de Datos Genéticos dispondrá lo necesario para la conservación de un modo inviolable e inalterable de los archivos de información genética y de las muestras obtenidas.</w:t>
      </w:r>
    </w:p>
    <w:p w14:paraId="26D79BCB"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PARAGRAFO SEGUNDO</w:t>
      </w:r>
      <w:r w:rsidRPr="007B6BE2">
        <w:rPr>
          <w:rFonts w:ascii="Arial" w:hAnsi="Arial" w:cs="Arial"/>
          <w:color w:val="000000"/>
        </w:rPr>
        <w:t>: La información obrante en el Banco será mantenida de forma permanente.</w:t>
      </w:r>
    </w:p>
    <w:p w14:paraId="388085E6"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5.</w:t>
      </w:r>
      <w:r w:rsidRPr="007B6BE2">
        <w:rPr>
          <w:rFonts w:ascii="Arial" w:hAnsi="Arial" w:cs="Arial"/>
          <w:color w:val="000000"/>
        </w:rPr>
        <w:t xml:space="preserve"> </w:t>
      </w:r>
      <w:r w:rsidRPr="0029056D">
        <w:rPr>
          <w:rFonts w:ascii="Arial" w:hAnsi="Arial" w:cs="Arial"/>
          <w:b/>
          <w:color w:val="000000"/>
        </w:rPr>
        <w:t>Información Genética.</w:t>
      </w:r>
      <w:r w:rsidRPr="007B6BE2">
        <w:rPr>
          <w:rFonts w:ascii="Arial" w:hAnsi="Arial" w:cs="Arial"/>
          <w:color w:val="000000"/>
        </w:rPr>
        <w:t xml:space="preserve"> La información genética registrada consistirá en el registro alfanumérico personal elaborado exclusivamente sobre la base de genotipos, que sean polimórficos en la población, y que carezcan de asociación directa en la expresión de genes y aporten sólo información </w:t>
      </w:r>
      <w:proofErr w:type="spellStart"/>
      <w:r w:rsidRPr="007B6BE2">
        <w:rPr>
          <w:rFonts w:ascii="Arial" w:hAnsi="Arial" w:cs="Arial"/>
          <w:color w:val="000000"/>
        </w:rPr>
        <w:t>identificatoria</w:t>
      </w:r>
      <w:proofErr w:type="spellEnd"/>
      <w:r w:rsidRPr="007B6BE2">
        <w:rPr>
          <w:rFonts w:ascii="Arial" w:hAnsi="Arial" w:cs="Arial"/>
          <w:color w:val="000000"/>
        </w:rPr>
        <w:t xml:space="preserve"> apta para ser sistematizada y codificada en una base de datos informatizada.</w:t>
      </w:r>
    </w:p>
    <w:p w14:paraId="359DA983"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14:paraId="7C7CE213"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6</w:t>
      </w:r>
      <w:r w:rsidRPr="007B6BE2">
        <w:rPr>
          <w:rFonts w:ascii="Arial" w:hAnsi="Arial" w:cs="Arial"/>
          <w:color w:val="000000"/>
        </w:rPr>
        <w:t xml:space="preserve">. </w:t>
      </w:r>
      <w:r w:rsidRPr="0029056D">
        <w:rPr>
          <w:rFonts w:ascii="Arial" w:hAnsi="Arial" w:cs="Arial"/>
          <w:b/>
          <w:color w:val="000000"/>
        </w:rPr>
        <w:t>Inclusión de Perfiles Genéticos.</w:t>
      </w:r>
      <w:r w:rsidRPr="007B6BE2">
        <w:rPr>
          <w:rFonts w:ascii="Arial" w:hAnsi="Arial" w:cs="Arial"/>
          <w:color w:val="000000"/>
        </w:rPr>
        <w:t xml:space="preserve"> El Banco Nacional de Datos Genéticos almacenará y administrará los perfiles de ADN de acusados o detenidos de delitos violentos de alto impacto, con el control necesario para evitar su uso inadecuado ya sea por discriminación genética de las personas o por asociación de perfiles genéticos a comunidades en riesgo de discriminación.</w:t>
      </w:r>
    </w:p>
    <w:p w14:paraId="5DF9EAC9"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En el Banco Nacional de Datos Genéticos se incluirán los perfiles genéticos en las siguientes categorías:</w:t>
      </w:r>
    </w:p>
    <w:p w14:paraId="57B112D6"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 xml:space="preserve">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w:t>
      </w:r>
      <w:r w:rsidRPr="007B6BE2">
        <w:rPr>
          <w:rFonts w:ascii="Arial" w:hAnsi="Arial" w:cs="Arial"/>
          <w:color w:val="000000"/>
        </w:rPr>
        <w:lastRenderedPageBreak/>
        <w:t xml:space="preserve">información obtenida del ADN, sobre rasgos fenotípicos (color de cabello, color de ojos, edad probable) y </w:t>
      </w:r>
      <w:proofErr w:type="spellStart"/>
      <w:r w:rsidRPr="007B6BE2">
        <w:rPr>
          <w:rFonts w:ascii="Arial" w:hAnsi="Arial" w:cs="Arial"/>
          <w:color w:val="000000"/>
        </w:rPr>
        <w:t>ancestralidad</w:t>
      </w:r>
      <w:proofErr w:type="spellEnd"/>
      <w:r w:rsidRPr="007B6BE2">
        <w:rPr>
          <w:rFonts w:ascii="Arial" w:hAnsi="Arial" w:cs="Arial"/>
          <w:color w:val="000000"/>
        </w:rPr>
        <w:t xml:space="preserve"> de una muestra biológica sin titular.</w:t>
      </w:r>
    </w:p>
    <w:p w14:paraId="3F2C7236"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2. Perfiles de ADN obtenidos de personas vivas o muertas, de quienes se conoce su identidad, que han sido vinculados al proceso judicial ya sea como indiciados, imputados o condenados con sentencia ejecutoriada, que hayan aportado voluntariamente su muestra en presencia de su apoderado.</w:t>
      </w:r>
    </w:p>
    <w:p w14:paraId="27264C9F"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La edad de la persona vinculada como posible agresor no será impedimento para la toma de la muestra, podrán incluirse los menores de edad, previa autorización del juez de conocimiento.</w:t>
      </w:r>
    </w:p>
    <w:p w14:paraId="035642C9"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Una vez que la sentencia condenatoria se encuentre en firme, el juez o tribunal ordenará de oficio los exámenes tendientes a lograr la identificación genética y su inscripción en el Banco Nacional de Datos Genéticos. Se realizará el perfilamiento de criminales condenados existentes a la fecha de entrada en vigencia de la presente ley y se hará sobre la población carcelaria del país condenados por delitos contra la libertad y formación sexual haciendo énfasis en la diferenciación de victimas menores de edad y los delitos contra la vida y la integridad personal, especialmente el homicidio serial.</w:t>
      </w:r>
    </w:p>
    <w:p w14:paraId="1F4CD663"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14:paraId="61C964BC"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14:paraId="062A7929"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7</w:t>
      </w:r>
      <w:r w:rsidRPr="007B6BE2">
        <w:rPr>
          <w:rFonts w:ascii="Arial" w:hAnsi="Arial" w:cs="Arial"/>
          <w:color w:val="000000"/>
        </w:rPr>
        <w:t xml:space="preserve">. </w:t>
      </w:r>
      <w:r w:rsidRPr="0029056D">
        <w:rPr>
          <w:rFonts w:ascii="Arial" w:hAnsi="Arial" w:cs="Arial"/>
          <w:b/>
          <w:color w:val="000000"/>
        </w:rPr>
        <w:t>Exclusión de Perfiles Genéticos.</w:t>
      </w:r>
      <w:r w:rsidRPr="007B6BE2">
        <w:rPr>
          <w:rFonts w:ascii="Arial" w:hAnsi="Arial" w:cs="Arial"/>
          <w:color w:val="000000"/>
        </w:rPr>
        <w:t xml:space="preserve"> Serán excluidos del Banco Nacional de Datos Genéticos vinculados a la comisión de delitos violentos de alto impacto, bajo los siguientes criterios:</w:t>
      </w:r>
    </w:p>
    <w:p w14:paraId="2676CCD9"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a) Para personas condenadas por delitos que afecten la vida, la libertad, la libertad sexual o propiedad (con violencia) serán excluidos 40 años después del cumplimiento de su condena o cuando el individuo alcance la edad de 80 años.</w:t>
      </w:r>
    </w:p>
    <w:p w14:paraId="369D6817"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lastRenderedPageBreak/>
        <w:t>b) Cuando se determine que hay ausencia de responsabilidad penal o haya cesación de la acción penal o se aplique alguna de las causales para terminar la acción o sanción penal, se excluirá del Banco de datos una vez no se considere necesaria su retención por parte de una autoridad judicial o por solicitud del mismo.</w:t>
      </w:r>
    </w:p>
    <w:p w14:paraId="4FAF0A3A"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8</w:t>
      </w:r>
      <w:r w:rsidRPr="007B6BE2">
        <w:rPr>
          <w:rFonts w:ascii="Arial" w:hAnsi="Arial" w:cs="Arial"/>
          <w:color w:val="000000"/>
        </w:rPr>
        <w:t xml:space="preserve">. </w:t>
      </w:r>
      <w:r w:rsidRPr="0029056D">
        <w:rPr>
          <w:rFonts w:ascii="Arial" w:hAnsi="Arial" w:cs="Arial"/>
          <w:b/>
          <w:color w:val="000000"/>
        </w:rPr>
        <w:t>De los procedimientos de búsqueda de los Perfiles Genéticos en el Banco Nacional de Datos Genéticos:</w:t>
      </w:r>
      <w:r w:rsidRPr="007B6BE2">
        <w:rPr>
          <w:rFonts w:ascii="Arial" w:hAnsi="Arial" w:cs="Arial"/>
          <w:color w:val="000000"/>
        </w:rPr>
        <w:t xml:space="preserve"> El Instituto Nacional de Medicina Legal creará las secciones o índices de perfiles genéticos que sean necesarios para apoyar la investigación judicial de los delitos que trata la presente ley, en los cuales podrá realizar dos tipos de consultas:</w:t>
      </w:r>
    </w:p>
    <w:p w14:paraId="0928450A"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 xml:space="preserve">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w:t>
      </w:r>
      <w:proofErr w:type="gramStart"/>
      <w:r w:rsidRPr="007B6BE2">
        <w:rPr>
          <w:rFonts w:ascii="Arial" w:hAnsi="Arial" w:cs="Arial"/>
          <w:color w:val="000000"/>
        </w:rPr>
        <w:t>especifica</w:t>
      </w:r>
      <w:proofErr w:type="gramEnd"/>
      <w:r w:rsidRPr="007B6BE2">
        <w:rPr>
          <w:rFonts w:ascii="Arial" w:hAnsi="Arial" w:cs="Arial"/>
          <w:color w:val="000000"/>
        </w:rPr>
        <w:t xml:space="preserve"> ni control de legalidad para tomarlos, procesarlos e ingresarlos al Banco Nacional de Datos Genéticos y buscarlos contra el mismo u otro índice o categoría.</w:t>
      </w:r>
    </w:p>
    <w:p w14:paraId="68ED4EAC"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En todo caso, el Instituto Nacional de Medicina Legal garantizará la seguridad de las bases de datos en general y los componentes de software y hardware para evitar la pérdida o alteración de los registros contenidos en el Banco Nacional de Datos Genéticos.</w:t>
      </w:r>
    </w:p>
    <w:p w14:paraId="72F0059B"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También podrán ser objeto de búsqueda aleatoria las evidencias abandonadas que se ajusten a las condiciones de legalidad descritas anteriormente.</w:t>
      </w:r>
    </w:p>
    <w:p w14:paraId="7D140570"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2. Búsquedas Dirigidas o Selectivas: Podrán ser objeto de búsquedas dirigidas o selectivas en el Banco Nacional de Datos Genéticos,</w:t>
      </w:r>
      <w:r>
        <w:rPr>
          <w:rFonts w:ascii="Arial" w:hAnsi="Arial" w:cs="Arial"/>
          <w:color w:val="000000"/>
        </w:rPr>
        <w:t xml:space="preserve"> </w:t>
      </w:r>
      <w:r w:rsidRPr="007B6BE2">
        <w:rPr>
          <w:rFonts w:ascii="Arial" w:hAnsi="Arial" w:cs="Arial"/>
          <w:color w:val="000000"/>
        </w:rPr>
        <w:t>aquellos perfiles genéticos de personas identificadas, indiciadas, imputadas o condenadas, sólo en respuesta a órdenes judiciales específicas y siempre que exista control de legalidad previo realizado por un juez de garantías.</w:t>
      </w:r>
    </w:p>
    <w:p w14:paraId="04219CE4"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9</w:t>
      </w:r>
      <w:r w:rsidRPr="007B6BE2">
        <w:rPr>
          <w:rFonts w:ascii="Arial" w:hAnsi="Arial" w:cs="Arial"/>
          <w:color w:val="000000"/>
        </w:rPr>
        <w:t xml:space="preserve">. </w:t>
      </w:r>
      <w:r w:rsidRPr="0029056D">
        <w:rPr>
          <w:rFonts w:ascii="Arial" w:hAnsi="Arial" w:cs="Arial"/>
          <w:b/>
          <w:color w:val="000000"/>
        </w:rPr>
        <w:t>Prohibición del uso de material Genético.</w:t>
      </w:r>
      <w:r w:rsidRPr="007B6BE2">
        <w:rPr>
          <w:rFonts w:ascii="Arial" w:hAnsi="Arial" w:cs="Arial"/>
          <w:color w:val="000000"/>
        </w:rPr>
        <w:t xml:space="preserve"> Se prohíbe la utilización de cualquier componente de material genético para cualquier fin que no sea la identificación de personas a los efectos previstos en esta ley.</w:t>
      </w:r>
    </w:p>
    <w:p w14:paraId="188C8C68" w14:textId="77777777" w:rsidR="0029056D" w:rsidRPr="007B6BE2" w:rsidRDefault="0029056D" w:rsidP="0029056D">
      <w:pPr>
        <w:pStyle w:val="NormalWeb"/>
        <w:jc w:val="both"/>
        <w:rPr>
          <w:rFonts w:ascii="Arial" w:hAnsi="Arial" w:cs="Arial"/>
          <w:color w:val="000000"/>
        </w:rPr>
      </w:pPr>
      <w:r w:rsidRPr="007B6BE2">
        <w:rPr>
          <w:rFonts w:ascii="Arial" w:hAnsi="Arial" w:cs="Arial"/>
          <w:color w:val="000000"/>
        </w:rPr>
        <w:t>Quien utilice indebidamente el material genético dispuesto en el banco de datos genético, incurrirá en causal de mala conducta sin perjuicio de las demás sanciones a las que haya lugar.</w:t>
      </w:r>
    </w:p>
    <w:p w14:paraId="62F32063"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lastRenderedPageBreak/>
        <w:t>ARTICULO 10</w:t>
      </w:r>
      <w:r w:rsidRPr="007B6BE2">
        <w:rPr>
          <w:rFonts w:ascii="Arial" w:hAnsi="Arial" w:cs="Arial"/>
          <w:color w:val="000000"/>
        </w:rPr>
        <w:t>. Los exámenes genéticos se practicarán en los laboratorios debidamente acreditados por el Organismo Nacional de Acreditación – ONAC –  que deberá, previa revisión,</w:t>
      </w:r>
      <w:r>
        <w:rPr>
          <w:rFonts w:ascii="Arial" w:hAnsi="Arial" w:cs="Arial"/>
          <w:color w:val="000000"/>
        </w:rPr>
        <w:t xml:space="preserve"> </w:t>
      </w:r>
      <w:r w:rsidRPr="007B6BE2">
        <w:rPr>
          <w:rFonts w:ascii="Arial" w:hAnsi="Arial" w:cs="Arial"/>
          <w:color w:val="000000"/>
        </w:rPr>
        <w:t>determinar si cada laboratorio cumple con las exigencias técnicas y legales correspondientes para ser acreditados como institución adecuada para la realización de los exámenes correspondientes.</w:t>
      </w:r>
    </w:p>
    <w:p w14:paraId="242E4F0E" w14:textId="77777777" w:rsidR="0029056D" w:rsidRPr="007B6BE2" w:rsidRDefault="0029056D" w:rsidP="0029056D">
      <w:pPr>
        <w:pStyle w:val="NormalWeb"/>
        <w:jc w:val="both"/>
        <w:rPr>
          <w:rFonts w:ascii="Arial" w:hAnsi="Arial" w:cs="Arial"/>
          <w:color w:val="000000"/>
        </w:rPr>
      </w:pPr>
      <w:r w:rsidRPr="007B6BE2">
        <w:rPr>
          <w:rFonts w:ascii="Arial" w:hAnsi="Arial" w:cs="Arial"/>
          <w:b/>
          <w:color w:val="000000"/>
        </w:rPr>
        <w:t>ARTICULO 11</w:t>
      </w:r>
      <w:r w:rsidRPr="007B6BE2">
        <w:rPr>
          <w:rFonts w:ascii="Arial" w:hAnsi="Arial" w:cs="Arial"/>
          <w:color w:val="000000"/>
        </w:rPr>
        <w:t>. La presente ley rige a partir de su publicación y deroga todas las normas que le sean contrarias.</w:t>
      </w:r>
    </w:p>
    <w:p w14:paraId="52F372FD" w14:textId="77777777" w:rsidR="0029056D" w:rsidRPr="00C9365C" w:rsidRDefault="0029056D" w:rsidP="0029056D">
      <w:pPr>
        <w:spacing w:line="276" w:lineRule="auto"/>
        <w:rPr>
          <w:rFonts w:ascii="Bookman Old Style" w:eastAsiaTheme="minorEastAsia" w:hAnsi="Bookman Old Style"/>
          <w:color w:val="222222"/>
          <w:lang w:val="es-ES" w:eastAsia="es-ES"/>
        </w:rPr>
      </w:pPr>
    </w:p>
    <w:p w14:paraId="6E8DAEEB" w14:textId="77777777" w:rsidR="007024FE" w:rsidRDefault="007024FE" w:rsidP="0029056D">
      <w:pPr>
        <w:jc w:val="both"/>
        <w:rPr>
          <w:rFonts w:ascii="Arial" w:hAnsi="Arial" w:cs="Arial"/>
          <w:color w:val="000000"/>
        </w:rPr>
      </w:pPr>
    </w:p>
    <w:p w14:paraId="608F2E32" w14:textId="1CED5275" w:rsidR="0029056D" w:rsidRPr="0029056D" w:rsidRDefault="0029056D" w:rsidP="0029056D">
      <w:pPr>
        <w:jc w:val="both"/>
        <w:rPr>
          <w:rFonts w:ascii="Arial" w:hAnsi="Arial" w:cs="Arial"/>
          <w:color w:val="000000"/>
          <w:lang w:val="es-ES"/>
        </w:rPr>
      </w:pPr>
      <w:r w:rsidRPr="0029056D">
        <w:rPr>
          <w:rFonts w:ascii="Arial" w:hAnsi="Arial" w:cs="Arial"/>
          <w:color w:val="000000"/>
        </w:rPr>
        <w:t xml:space="preserve">En los anteriores términos fue aprobado </w:t>
      </w:r>
      <w:r>
        <w:rPr>
          <w:rFonts w:ascii="Arial" w:hAnsi="Arial" w:cs="Arial"/>
          <w:color w:val="000000"/>
        </w:rPr>
        <w:t>si</w:t>
      </w:r>
      <w:r w:rsidRPr="0029056D">
        <w:rPr>
          <w:rFonts w:ascii="Arial" w:hAnsi="Arial" w:cs="Arial"/>
          <w:color w:val="000000"/>
        </w:rPr>
        <w:t xml:space="preserve">n modificaciones el presente Proyecto de Ley </w:t>
      </w:r>
      <w:r>
        <w:rPr>
          <w:rFonts w:ascii="Arial" w:hAnsi="Arial" w:cs="Arial"/>
          <w:color w:val="000000"/>
        </w:rPr>
        <w:t xml:space="preserve">Estatutaria </w:t>
      </w:r>
      <w:r w:rsidRPr="0029056D">
        <w:rPr>
          <w:rFonts w:ascii="Arial" w:hAnsi="Arial" w:cs="Arial"/>
          <w:color w:val="000000"/>
        </w:rPr>
        <w:t xml:space="preserve">según consta en Acta No. </w:t>
      </w:r>
      <w:r>
        <w:rPr>
          <w:rFonts w:ascii="Arial" w:hAnsi="Arial" w:cs="Arial"/>
          <w:color w:val="000000"/>
        </w:rPr>
        <w:t>11</w:t>
      </w:r>
      <w:r w:rsidRPr="0029056D">
        <w:rPr>
          <w:rFonts w:ascii="Arial" w:hAnsi="Arial" w:cs="Arial"/>
          <w:color w:val="000000"/>
        </w:rPr>
        <w:t xml:space="preserve"> de </w:t>
      </w:r>
      <w:r>
        <w:rPr>
          <w:rFonts w:ascii="Arial" w:hAnsi="Arial" w:cs="Arial"/>
          <w:color w:val="000000"/>
        </w:rPr>
        <w:t>septiembre 02 d</w:t>
      </w:r>
      <w:r w:rsidRPr="0029056D">
        <w:rPr>
          <w:rFonts w:ascii="Arial" w:hAnsi="Arial" w:cs="Arial"/>
          <w:color w:val="000000"/>
        </w:rPr>
        <w:t xml:space="preserve">e 2019. </w:t>
      </w:r>
      <w:r w:rsidRPr="0029056D">
        <w:rPr>
          <w:rFonts w:ascii="Arial" w:hAnsi="Arial" w:cs="Arial"/>
          <w:color w:val="000000"/>
          <w:lang w:val="es-ES"/>
        </w:rPr>
        <w:t>Anunciado entre otras fechas</w:t>
      </w:r>
      <w:r>
        <w:rPr>
          <w:rFonts w:ascii="Arial" w:hAnsi="Arial" w:cs="Arial"/>
          <w:color w:val="000000"/>
          <w:lang w:val="es-ES"/>
        </w:rPr>
        <w:t>,</w:t>
      </w:r>
      <w:r w:rsidRPr="0029056D">
        <w:rPr>
          <w:rFonts w:ascii="Arial" w:hAnsi="Arial" w:cs="Arial"/>
          <w:color w:val="000000"/>
          <w:lang w:val="es-ES"/>
        </w:rPr>
        <w:t xml:space="preserve"> el </w:t>
      </w:r>
      <w:r>
        <w:rPr>
          <w:rFonts w:ascii="Arial" w:hAnsi="Arial" w:cs="Arial"/>
          <w:color w:val="000000"/>
          <w:lang w:val="es-ES"/>
        </w:rPr>
        <w:t>27</w:t>
      </w:r>
      <w:r w:rsidRPr="0029056D">
        <w:rPr>
          <w:rFonts w:ascii="Arial" w:hAnsi="Arial" w:cs="Arial"/>
          <w:color w:val="000000"/>
          <w:lang w:val="es-ES"/>
        </w:rPr>
        <w:t xml:space="preserve"> de a</w:t>
      </w:r>
      <w:r>
        <w:rPr>
          <w:rFonts w:ascii="Arial" w:hAnsi="Arial" w:cs="Arial"/>
          <w:color w:val="000000"/>
          <w:lang w:val="es-ES"/>
        </w:rPr>
        <w:t xml:space="preserve">gosto </w:t>
      </w:r>
      <w:r w:rsidRPr="0029056D">
        <w:rPr>
          <w:rFonts w:ascii="Arial" w:hAnsi="Arial" w:cs="Arial"/>
          <w:color w:val="000000"/>
          <w:lang w:val="es-ES"/>
        </w:rPr>
        <w:t xml:space="preserve">de 2019 según consta en Acta No. </w:t>
      </w:r>
      <w:r>
        <w:rPr>
          <w:rFonts w:ascii="Arial" w:hAnsi="Arial" w:cs="Arial"/>
          <w:color w:val="000000"/>
          <w:lang w:val="es-ES"/>
        </w:rPr>
        <w:t>10</w:t>
      </w:r>
      <w:r w:rsidRPr="0029056D">
        <w:rPr>
          <w:rFonts w:ascii="Arial" w:hAnsi="Arial" w:cs="Arial"/>
          <w:color w:val="000000"/>
          <w:lang w:val="es-ES"/>
        </w:rPr>
        <w:t xml:space="preserve"> de la misma fecha.  </w:t>
      </w:r>
    </w:p>
    <w:p w14:paraId="1F9BA4CE" w14:textId="77777777" w:rsidR="0029056D" w:rsidRPr="0029056D" w:rsidRDefault="0029056D" w:rsidP="0029056D">
      <w:pPr>
        <w:pStyle w:val="NormalWeb"/>
        <w:jc w:val="both"/>
        <w:rPr>
          <w:rFonts w:ascii="Arial" w:hAnsi="Arial" w:cs="Arial"/>
          <w:color w:val="000000"/>
        </w:rPr>
      </w:pPr>
    </w:p>
    <w:p w14:paraId="17E19F83" w14:textId="77777777" w:rsidR="0029056D" w:rsidRPr="0029056D" w:rsidRDefault="0029056D" w:rsidP="0029056D">
      <w:pPr>
        <w:jc w:val="both"/>
        <w:rPr>
          <w:rFonts w:ascii="Arial" w:hAnsi="Arial" w:cs="Arial"/>
          <w:b/>
          <w:lang w:val="es-ES_tradnl"/>
        </w:rPr>
      </w:pPr>
    </w:p>
    <w:p w14:paraId="45B11644" w14:textId="333E4A8D" w:rsidR="0029056D" w:rsidRPr="0029056D" w:rsidRDefault="0029056D" w:rsidP="0029056D">
      <w:pPr>
        <w:jc w:val="both"/>
        <w:rPr>
          <w:rFonts w:ascii="Arial" w:hAnsi="Arial" w:cs="Arial"/>
          <w:lang w:val="es-ES_tradnl"/>
        </w:rPr>
      </w:pPr>
      <w:r w:rsidRPr="0029056D">
        <w:rPr>
          <w:rFonts w:ascii="Arial" w:hAnsi="Arial" w:cs="Arial"/>
          <w:b/>
          <w:lang w:val="es-ES_tradnl"/>
        </w:rPr>
        <w:t>JOHN JAIRO HOYOS GARCIA</w:t>
      </w:r>
      <w:r>
        <w:rPr>
          <w:rFonts w:ascii="Arial" w:hAnsi="Arial" w:cs="Arial"/>
          <w:b/>
          <w:lang w:val="es-ES_tradnl"/>
        </w:rPr>
        <w:tab/>
      </w:r>
      <w:r>
        <w:rPr>
          <w:rFonts w:ascii="Arial" w:hAnsi="Arial" w:cs="Arial"/>
          <w:b/>
          <w:lang w:val="es-ES_tradnl"/>
        </w:rPr>
        <w:tab/>
      </w:r>
      <w:r>
        <w:rPr>
          <w:rFonts w:ascii="Arial" w:hAnsi="Arial" w:cs="Arial"/>
          <w:b/>
          <w:lang w:val="es-ES_tradnl"/>
        </w:rPr>
        <w:tab/>
        <w:t>JUAN CARLOS LOZADA VARGAS</w:t>
      </w:r>
    </w:p>
    <w:p w14:paraId="35B018F4" w14:textId="2FDA3801" w:rsidR="0029056D" w:rsidRPr="0029056D" w:rsidRDefault="0029056D" w:rsidP="0029056D">
      <w:pPr>
        <w:jc w:val="both"/>
        <w:rPr>
          <w:rFonts w:ascii="Arial" w:hAnsi="Arial" w:cs="Arial"/>
          <w:lang w:val="es-ES_tradnl"/>
        </w:rPr>
      </w:pPr>
      <w:r w:rsidRPr="0029056D">
        <w:rPr>
          <w:rFonts w:ascii="Arial" w:hAnsi="Arial" w:cs="Arial"/>
          <w:lang w:val="es-ES_tradnl"/>
        </w:rPr>
        <w:t>Coordinador Ponente</w:t>
      </w:r>
      <w:r w:rsidRPr="0029056D">
        <w:rPr>
          <w:rFonts w:ascii="Arial" w:hAnsi="Arial" w:cs="Arial"/>
          <w:lang w:val="es-ES_tradnl"/>
        </w:rPr>
        <w:tab/>
      </w:r>
      <w:r w:rsidRPr="0029056D">
        <w:rPr>
          <w:rFonts w:ascii="Arial" w:hAnsi="Arial" w:cs="Arial"/>
          <w:lang w:val="es-ES_tradnl"/>
        </w:rPr>
        <w:tab/>
      </w:r>
      <w:r w:rsidRPr="0029056D">
        <w:rPr>
          <w:rFonts w:ascii="Arial" w:hAnsi="Arial" w:cs="Arial"/>
          <w:lang w:val="es-ES_tradnl"/>
        </w:rPr>
        <w:tab/>
      </w:r>
      <w:r w:rsidRPr="0029056D">
        <w:rPr>
          <w:rFonts w:ascii="Arial" w:hAnsi="Arial" w:cs="Arial"/>
          <w:lang w:val="es-ES_tradnl"/>
        </w:rPr>
        <w:tab/>
        <w:t>Presidente</w:t>
      </w:r>
    </w:p>
    <w:p w14:paraId="3FBA11D9" w14:textId="77777777" w:rsidR="0029056D" w:rsidRPr="0029056D" w:rsidRDefault="0029056D" w:rsidP="0029056D">
      <w:pPr>
        <w:jc w:val="both"/>
        <w:rPr>
          <w:rFonts w:ascii="Arial" w:hAnsi="Arial" w:cs="Arial"/>
          <w:lang w:val="es-ES_tradnl"/>
        </w:rPr>
      </w:pPr>
    </w:p>
    <w:p w14:paraId="560EFE25" w14:textId="77777777" w:rsidR="0029056D" w:rsidRPr="0029056D" w:rsidRDefault="0029056D" w:rsidP="000C1D7B">
      <w:pPr>
        <w:pStyle w:val="Sinespaciado"/>
        <w:jc w:val="both"/>
        <w:rPr>
          <w:rFonts w:ascii="Arial" w:eastAsia="Calibri" w:hAnsi="Arial" w:cs="Arial"/>
          <w:sz w:val="24"/>
          <w:szCs w:val="24"/>
          <w:lang w:val="es-ES_tradnl"/>
        </w:rPr>
      </w:pPr>
    </w:p>
    <w:p w14:paraId="6FAD4F2D" w14:textId="61A35AC0" w:rsidR="00F22817" w:rsidRPr="0029056D" w:rsidRDefault="00F22817" w:rsidP="001E7ACE">
      <w:pPr>
        <w:ind w:left="708" w:firstLine="708"/>
        <w:jc w:val="both"/>
        <w:rPr>
          <w:rFonts w:ascii="Arial" w:hAnsi="Arial" w:cs="Arial"/>
          <w:b/>
          <w:color w:val="000000" w:themeColor="text1"/>
          <w:lang w:val="es-ES"/>
        </w:rPr>
      </w:pPr>
    </w:p>
    <w:p w14:paraId="05FF83A3" w14:textId="77777777" w:rsidR="001E7ACE" w:rsidRPr="0029056D" w:rsidRDefault="001E7ACE" w:rsidP="001E7ACE">
      <w:pPr>
        <w:ind w:left="708" w:firstLine="708"/>
        <w:jc w:val="both"/>
        <w:rPr>
          <w:rFonts w:ascii="Arial" w:hAnsi="Arial" w:cs="Arial"/>
          <w:b/>
          <w:color w:val="000000" w:themeColor="text1"/>
          <w:lang w:val="es-ES"/>
        </w:rPr>
      </w:pPr>
    </w:p>
    <w:p w14:paraId="0A5C68A3" w14:textId="57F54BC4" w:rsidR="00CF62D5" w:rsidRPr="0029056D" w:rsidRDefault="00F43C04" w:rsidP="001E7ACE">
      <w:pPr>
        <w:ind w:left="708" w:firstLine="708"/>
        <w:jc w:val="both"/>
        <w:rPr>
          <w:rFonts w:ascii="Arial" w:hAnsi="Arial" w:cs="Arial"/>
          <w:b/>
          <w:color w:val="000000" w:themeColor="text1"/>
          <w:lang w:val="es-ES"/>
        </w:rPr>
      </w:pPr>
      <w:r w:rsidRPr="0029056D">
        <w:rPr>
          <w:rFonts w:ascii="Arial" w:hAnsi="Arial" w:cs="Arial"/>
          <w:b/>
          <w:color w:val="000000" w:themeColor="text1"/>
          <w:lang w:val="es-ES"/>
        </w:rPr>
        <w:t xml:space="preserve">         </w:t>
      </w:r>
      <w:r w:rsidR="00CF62D5" w:rsidRPr="0029056D">
        <w:rPr>
          <w:rFonts w:ascii="Arial" w:hAnsi="Arial" w:cs="Arial"/>
          <w:b/>
          <w:color w:val="000000" w:themeColor="text1"/>
          <w:lang w:val="es-ES"/>
        </w:rPr>
        <w:t>AMPARO Y. CALDERÓN PERDOMO</w:t>
      </w:r>
      <w:bookmarkStart w:id="0" w:name="_GoBack"/>
      <w:bookmarkEnd w:id="0"/>
    </w:p>
    <w:p w14:paraId="58518A38" w14:textId="04B67963" w:rsidR="003C45CE" w:rsidRPr="0029056D" w:rsidRDefault="001E7ACE" w:rsidP="006C52C7">
      <w:pPr>
        <w:jc w:val="both"/>
        <w:rPr>
          <w:rFonts w:ascii="Arial" w:hAnsi="Arial" w:cs="Arial"/>
          <w:b/>
          <w:bCs/>
          <w:lang w:val="es-MX" w:eastAsia="es-ES"/>
        </w:rPr>
      </w:pPr>
      <w:r w:rsidRPr="0029056D">
        <w:rPr>
          <w:rFonts w:ascii="Arial" w:hAnsi="Arial" w:cs="Arial"/>
          <w:color w:val="000000" w:themeColor="text1"/>
          <w:lang w:val="es-ES"/>
        </w:rPr>
        <w:tab/>
      </w:r>
      <w:r w:rsidRPr="0029056D">
        <w:rPr>
          <w:rFonts w:ascii="Arial" w:hAnsi="Arial" w:cs="Arial"/>
          <w:color w:val="000000" w:themeColor="text1"/>
          <w:lang w:val="es-ES"/>
        </w:rPr>
        <w:tab/>
      </w:r>
      <w:r w:rsidR="000E0F56" w:rsidRPr="0029056D">
        <w:rPr>
          <w:rFonts w:ascii="Arial" w:hAnsi="Arial" w:cs="Arial"/>
          <w:color w:val="000000" w:themeColor="text1"/>
          <w:lang w:val="es-ES"/>
        </w:rPr>
        <w:tab/>
      </w:r>
      <w:r w:rsidR="00F43C04" w:rsidRPr="0029056D">
        <w:rPr>
          <w:rFonts w:ascii="Arial" w:hAnsi="Arial" w:cs="Arial"/>
          <w:color w:val="000000" w:themeColor="text1"/>
          <w:lang w:val="es-ES"/>
        </w:rPr>
        <w:t xml:space="preserve">                     </w:t>
      </w:r>
      <w:r w:rsidR="00CF62D5" w:rsidRPr="0029056D">
        <w:rPr>
          <w:rFonts w:ascii="Arial" w:hAnsi="Arial" w:cs="Arial"/>
          <w:color w:val="000000" w:themeColor="text1"/>
          <w:lang w:val="es-ES"/>
        </w:rPr>
        <w:t>Secretaria</w:t>
      </w:r>
    </w:p>
    <w:sectPr w:rsidR="003C45CE" w:rsidRPr="0029056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83853" w14:textId="77777777" w:rsidR="000E4B5C" w:rsidRDefault="000E4B5C" w:rsidP="00400E1B">
      <w:r>
        <w:separator/>
      </w:r>
    </w:p>
  </w:endnote>
  <w:endnote w:type="continuationSeparator" w:id="0">
    <w:p w14:paraId="04EDB2C1" w14:textId="77777777" w:rsidR="000E4B5C" w:rsidRDefault="000E4B5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DD52E6" w:rsidRPr="00DD52E6">
          <w:rPr>
            <w:noProof/>
            <w:lang w:val="es-ES"/>
          </w:rPr>
          <w:t>6</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D4A3E" w14:textId="77777777" w:rsidR="000E4B5C" w:rsidRDefault="000E4B5C" w:rsidP="00400E1B">
      <w:r>
        <w:separator/>
      </w:r>
    </w:p>
  </w:footnote>
  <w:footnote w:type="continuationSeparator" w:id="0">
    <w:p w14:paraId="1CA0A0A9" w14:textId="77777777" w:rsidR="000E4B5C" w:rsidRDefault="000E4B5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8D71D3">
      <w:rPr>
        <w:rFonts w:asciiTheme="minorHAnsi" w:eastAsiaTheme="minorHAnsi" w:hAnsiTheme="minorHAnsi" w:cstheme="minorBidi"/>
        <w:b/>
        <w:sz w:val="22"/>
        <w:szCs w:val="22"/>
        <w:lang w:eastAsia="en-US"/>
      </w:rPr>
      <w:fldChar w:fldCharType="begin"/>
    </w:r>
    <w:r w:rsidR="008D71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71D3">
      <w:rPr>
        <w:rFonts w:asciiTheme="minorHAnsi" w:eastAsiaTheme="minorHAnsi" w:hAnsiTheme="minorHAnsi" w:cstheme="minorBidi"/>
        <w:b/>
        <w:sz w:val="22"/>
        <w:szCs w:val="22"/>
        <w:lang w:eastAsia="en-US"/>
      </w:rPr>
      <w:fldChar w:fldCharType="separate"/>
    </w:r>
    <w:r w:rsidR="00A30A77">
      <w:rPr>
        <w:rFonts w:asciiTheme="minorHAnsi" w:eastAsiaTheme="minorHAnsi" w:hAnsiTheme="minorHAnsi" w:cstheme="minorBidi"/>
        <w:b/>
        <w:sz w:val="22"/>
        <w:szCs w:val="22"/>
        <w:lang w:eastAsia="en-US"/>
      </w:rPr>
      <w:fldChar w:fldCharType="begin"/>
    </w:r>
    <w:r w:rsidR="00A30A7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30A77">
      <w:rPr>
        <w:rFonts w:asciiTheme="minorHAnsi" w:eastAsiaTheme="minorHAnsi" w:hAnsiTheme="minorHAnsi" w:cstheme="minorBidi"/>
        <w:b/>
        <w:sz w:val="22"/>
        <w:szCs w:val="22"/>
        <w:lang w:eastAsia="en-US"/>
      </w:rPr>
      <w:fldChar w:fldCharType="separate"/>
    </w:r>
    <w:r w:rsidR="00DC0F00">
      <w:rPr>
        <w:rFonts w:asciiTheme="minorHAnsi" w:eastAsiaTheme="minorHAnsi" w:hAnsiTheme="minorHAnsi" w:cstheme="minorBidi"/>
        <w:b/>
        <w:sz w:val="22"/>
        <w:szCs w:val="22"/>
        <w:lang w:eastAsia="en-US"/>
      </w:rPr>
      <w:fldChar w:fldCharType="begin"/>
    </w:r>
    <w:r w:rsidR="00DC0F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C0F00">
      <w:rPr>
        <w:rFonts w:asciiTheme="minorHAnsi" w:eastAsiaTheme="minorHAnsi" w:hAnsiTheme="minorHAnsi" w:cstheme="minorBidi"/>
        <w:b/>
        <w:sz w:val="22"/>
        <w:szCs w:val="22"/>
        <w:lang w:eastAsia="en-US"/>
      </w:rPr>
      <w:fldChar w:fldCharType="separate"/>
    </w:r>
    <w:r w:rsidR="0095082E">
      <w:rPr>
        <w:rFonts w:asciiTheme="minorHAnsi" w:eastAsiaTheme="minorHAnsi" w:hAnsiTheme="minorHAnsi" w:cstheme="minorBidi"/>
        <w:b/>
        <w:sz w:val="22"/>
        <w:szCs w:val="22"/>
        <w:lang w:eastAsia="en-US"/>
      </w:rPr>
      <w:fldChar w:fldCharType="begin"/>
    </w:r>
    <w:r w:rsidR="0095082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5082E">
      <w:rPr>
        <w:rFonts w:asciiTheme="minorHAnsi" w:eastAsiaTheme="minorHAnsi" w:hAnsiTheme="minorHAnsi" w:cstheme="minorBidi"/>
        <w:b/>
        <w:sz w:val="22"/>
        <w:szCs w:val="22"/>
        <w:lang w:eastAsia="en-US"/>
      </w:rPr>
      <w:fldChar w:fldCharType="separate"/>
    </w:r>
    <w:r w:rsidR="00EE2DBC">
      <w:rPr>
        <w:rFonts w:asciiTheme="minorHAnsi" w:eastAsiaTheme="minorHAnsi" w:hAnsiTheme="minorHAnsi" w:cstheme="minorBidi"/>
        <w:b/>
        <w:sz w:val="22"/>
        <w:szCs w:val="22"/>
        <w:lang w:eastAsia="en-US"/>
      </w:rPr>
      <w:fldChar w:fldCharType="begin"/>
    </w:r>
    <w:r w:rsidR="00EE2DB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2DBC">
      <w:rPr>
        <w:rFonts w:asciiTheme="minorHAnsi" w:eastAsiaTheme="minorHAnsi" w:hAnsiTheme="minorHAnsi" w:cstheme="minorBidi"/>
        <w:b/>
        <w:sz w:val="22"/>
        <w:szCs w:val="22"/>
        <w:lang w:eastAsia="en-US"/>
      </w:rPr>
      <w:fldChar w:fldCharType="separate"/>
    </w:r>
    <w:r w:rsidR="00DE7E9F">
      <w:rPr>
        <w:rFonts w:asciiTheme="minorHAnsi" w:eastAsiaTheme="minorHAnsi" w:hAnsiTheme="minorHAnsi" w:cstheme="minorBidi"/>
        <w:b/>
        <w:sz w:val="22"/>
        <w:szCs w:val="22"/>
        <w:lang w:eastAsia="en-US"/>
      </w:rPr>
      <w:fldChar w:fldCharType="begin"/>
    </w:r>
    <w:r w:rsidR="00DE7E9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7E9F">
      <w:rPr>
        <w:rFonts w:asciiTheme="minorHAnsi" w:eastAsiaTheme="minorHAnsi" w:hAnsiTheme="minorHAnsi" w:cstheme="minorBidi"/>
        <w:b/>
        <w:sz w:val="22"/>
        <w:szCs w:val="22"/>
        <w:lang w:eastAsia="en-US"/>
      </w:rPr>
      <w:fldChar w:fldCharType="separate"/>
    </w:r>
    <w:r w:rsidR="003F1D77">
      <w:rPr>
        <w:rFonts w:asciiTheme="minorHAnsi" w:eastAsiaTheme="minorHAnsi" w:hAnsiTheme="minorHAnsi" w:cstheme="minorBidi"/>
        <w:b/>
        <w:sz w:val="22"/>
        <w:szCs w:val="22"/>
        <w:lang w:eastAsia="en-US"/>
      </w:rPr>
      <w:fldChar w:fldCharType="begin"/>
    </w:r>
    <w:r w:rsidR="003F1D7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F1D77">
      <w:rPr>
        <w:rFonts w:asciiTheme="minorHAnsi" w:eastAsiaTheme="minorHAnsi" w:hAnsiTheme="minorHAnsi" w:cstheme="minorBidi"/>
        <w:b/>
        <w:sz w:val="22"/>
        <w:szCs w:val="22"/>
        <w:lang w:eastAsia="en-US"/>
      </w:rPr>
      <w:fldChar w:fldCharType="separate"/>
    </w:r>
    <w:r w:rsidR="00CD32A5">
      <w:rPr>
        <w:rFonts w:asciiTheme="minorHAnsi" w:eastAsiaTheme="minorHAnsi" w:hAnsiTheme="minorHAnsi" w:cstheme="minorBidi"/>
        <w:b/>
        <w:sz w:val="22"/>
        <w:szCs w:val="22"/>
        <w:lang w:eastAsia="en-US"/>
      </w:rPr>
      <w:fldChar w:fldCharType="begin"/>
    </w:r>
    <w:r w:rsidR="00CD32A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D32A5">
      <w:rPr>
        <w:rFonts w:asciiTheme="minorHAnsi" w:eastAsiaTheme="minorHAnsi" w:hAnsiTheme="minorHAnsi" w:cstheme="minorBidi"/>
        <w:b/>
        <w:sz w:val="22"/>
        <w:szCs w:val="22"/>
        <w:lang w:eastAsia="en-US"/>
      </w:rPr>
      <w:fldChar w:fldCharType="separate"/>
    </w:r>
    <w:r w:rsidR="00686980">
      <w:rPr>
        <w:rFonts w:asciiTheme="minorHAnsi" w:eastAsiaTheme="minorHAnsi" w:hAnsiTheme="minorHAnsi" w:cstheme="minorBidi"/>
        <w:b/>
        <w:sz w:val="22"/>
        <w:szCs w:val="22"/>
        <w:lang w:eastAsia="en-US"/>
      </w:rPr>
      <w:fldChar w:fldCharType="begin"/>
    </w:r>
    <w:r w:rsidR="0068698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86980">
      <w:rPr>
        <w:rFonts w:asciiTheme="minorHAnsi" w:eastAsiaTheme="minorHAnsi" w:hAnsiTheme="minorHAnsi" w:cstheme="minorBidi"/>
        <w:b/>
        <w:sz w:val="22"/>
        <w:szCs w:val="22"/>
        <w:lang w:eastAsia="en-US"/>
      </w:rPr>
      <w:fldChar w:fldCharType="separate"/>
    </w:r>
    <w:r w:rsidR="00F12F57">
      <w:rPr>
        <w:rFonts w:asciiTheme="minorHAnsi" w:eastAsiaTheme="minorHAnsi" w:hAnsiTheme="minorHAnsi" w:cstheme="minorBidi"/>
        <w:b/>
        <w:sz w:val="22"/>
        <w:szCs w:val="22"/>
        <w:lang w:eastAsia="en-US"/>
      </w:rPr>
      <w:fldChar w:fldCharType="begin"/>
    </w:r>
    <w:r w:rsidR="00F12F5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2F57">
      <w:rPr>
        <w:rFonts w:asciiTheme="minorHAnsi" w:eastAsiaTheme="minorHAnsi" w:hAnsiTheme="minorHAnsi" w:cstheme="minorBidi"/>
        <w:b/>
        <w:sz w:val="22"/>
        <w:szCs w:val="22"/>
        <w:lang w:eastAsia="en-US"/>
      </w:rPr>
      <w:fldChar w:fldCharType="separate"/>
    </w:r>
    <w:r w:rsidR="00FA7DD6">
      <w:rPr>
        <w:rFonts w:asciiTheme="minorHAnsi" w:eastAsiaTheme="minorHAnsi" w:hAnsiTheme="minorHAnsi" w:cstheme="minorBidi"/>
        <w:b/>
        <w:sz w:val="22"/>
        <w:szCs w:val="22"/>
        <w:lang w:eastAsia="en-US"/>
      </w:rPr>
      <w:fldChar w:fldCharType="begin"/>
    </w:r>
    <w:r w:rsidR="00FA7DD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A7DD6">
      <w:rPr>
        <w:rFonts w:asciiTheme="minorHAnsi" w:eastAsiaTheme="minorHAnsi" w:hAnsiTheme="minorHAnsi" w:cstheme="minorBidi"/>
        <w:b/>
        <w:sz w:val="22"/>
        <w:szCs w:val="22"/>
        <w:lang w:eastAsia="en-US"/>
      </w:rPr>
      <w:fldChar w:fldCharType="separate"/>
    </w:r>
    <w:r w:rsidR="00BB4E7B">
      <w:rPr>
        <w:rFonts w:asciiTheme="minorHAnsi" w:eastAsiaTheme="minorHAnsi" w:hAnsiTheme="minorHAnsi" w:cstheme="minorBidi"/>
        <w:b/>
        <w:sz w:val="22"/>
        <w:szCs w:val="22"/>
        <w:lang w:eastAsia="en-US"/>
      </w:rPr>
      <w:fldChar w:fldCharType="begin"/>
    </w:r>
    <w:r w:rsidR="00BB4E7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B4E7B">
      <w:rPr>
        <w:rFonts w:asciiTheme="minorHAnsi" w:eastAsiaTheme="minorHAnsi" w:hAnsiTheme="minorHAnsi" w:cstheme="minorBidi"/>
        <w:b/>
        <w:sz w:val="22"/>
        <w:szCs w:val="22"/>
        <w:lang w:eastAsia="en-US"/>
      </w:rPr>
      <w:fldChar w:fldCharType="separate"/>
    </w:r>
    <w:r w:rsidR="00B97FDE">
      <w:rPr>
        <w:rFonts w:asciiTheme="minorHAnsi" w:eastAsiaTheme="minorHAnsi" w:hAnsiTheme="minorHAnsi" w:cstheme="minorBidi"/>
        <w:b/>
        <w:sz w:val="22"/>
        <w:szCs w:val="22"/>
        <w:lang w:eastAsia="en-US"/>
      </w:rPr>
      <w:fldChar w:fldCharType="begin"/>
    </w:r>
    <w:r w:rsidR="00B97F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97FDE">
      <w:rPr>
        <w:rFonts w:asciiTheme="minorHAnsi" w:eastAsiaTheme="minorHAnsi" w:hAnsiTheme="minorHAnsi" w:cstheme="minorBidi"/>
        <w:b/>
        <w:sz w:val="22"/>
        <w:szCs w:val="22"/>
        <w:lang w:eastAsia="en-US"/>
      </w:rPr>
      <w:fldChar w:fldCharType="separate"/>
    </w:r>
    <w:r w:rsidR="000E4B5C">
      <w:rPr>
        <w:rFonts w:asciiTheme="minorHAnsi" w:eastAsiaTheme="minorHAnsi" w:hAnsiTheme="minorHAnsi" w:cstheme="minorBidi"/>
        <w:b/>
        <w:sz w:val="22"/>
        <w:szCs w:val="22"/>
        <w:lang w:eastAsia="en-US"/>
      </w:rPr>
      <w:fldChar w:fldCharType="begin"/>
    </w:r>
    <w:r w:rsidR="000E4B5C">
      <w:rPr>
        <w:rFonts w:asciiTheme="minorHAnsi" w:eastAsiaTheme="minorHAnsi" w:hAnsiTheme="minorHAnsi" w:cstheme="minorBidi"/>
        <w:b/>
        <w:sz w:val="22"/>
        <w:szCs w:val="22"/>
        <w:lang w:eastAsia="en-US"/>
      </w:rPr>
      <w:instrText xml:space="preserve"> </w:instrText>
    </w:r>
    <w:r w:rsidR="000E4B5C">
      <w:rPr>
        <w:rFonts w:asciiTheme="minorHAnsi" w:eastAsiaTheme="minorHAnsi" w:hAnsiTheme="minorHAnsi" w:cstheme="minorBidi"/>
        <w:b/>
        <w:sz w:val="22"/>
        <w:szCs w:val="22"/>
        <w:lang w:eastAsia="en-US"/>
      </w:rPr>
      <w:instrText>INCLUDEPICTURE  "http://entrecomillas.com.co/wp-content/uploads/2014/09/logo_</w:instrText>
    </w:r>
    <w:r w:rsidR="000E4B5C">
      <w:rPr>
        <w:rFonts w:asciiTheme="minorHAnsi" w:eastAsiaTheme="minorHAnsi" w:hAnsiTheme="minorHAnsi" w:cstheme="minorBidi"/>
        <w:b/>
        <w:sz w:val="22"/>
        <w:szCs w:val="22"/>
        <w:lang w:eastAsia="en-US"/>
      </w:rPr>
      <w:instrText>20congreso_1.png" \* MERGEFORMATINET</w:instrText>
    </w:r>
    <w:r w:rsidR="000E4B5C">
      <w:rPr>
        <w:rFonts w:asciiTheme="minorHAnsi" w:eastAsiaTheme="minorHAnsi" w:hAnsiTheme="minorHAnsi" w:cstheme="minorBidi"/>
        <w:b/>
        <w:sz w:val="22"/>
        <w:szCs w:val="22"/>
        <w:lang w:eastAsia="en-US"/>
      </w:rPr>
      <w:instrText xml:space="preserve"> </w:instrText>
    </w:r>
    <w:r w:rsidR="000E4B5C">
      <w:rPr>
        <w:rFonts w:asciiTheme="minorHAnsi" w:eastAsiaTheme="minorHAnsi" w:hAnsiTheme="minorHAnsi" w:cstheme="minorBidi"/>
        <w:b/>
        <w:sz w:val="22"/>
        <w:szCs w:val="22"/>
        <w:lang w:eastAsia="en-US"/>
      </w:rPr>
      <w:fldChar w:fldCharType="separate"/>
    </w:r>
    <w:r w:rsidR="00CF66F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0E4B5C">
      <w:rPr>
        <w:rFonts w:asciiTheme="minorHAnsi" w:eastAsiaTheme="minorHAnsi" w:hAnsiTheme="minorHAnsi" w:cstheme="minorBidi"/>
        <w:b/>
        <w:sz w:val="22"/>
        <w:szCs w:val="22"/>
        <w:lang w:eastAsia="en-US"/>
      </w:rPr>
      <w:fldChar w:fldCharType="end"/>
    </w:r>
    <w:r w:rsidR="00B97FDE">
      <w:rPr>
        <w:rFonts w:asciiTheme="minorHAnsi" w:eastAsiaTheme="minorHAnsi" w:hAnsiTheme="minorHAnsi" w:cstheme="minorBidi"/>
        <w:b/>
        <w:sz w:val="22"/>
        <w:szCs w:val="22"/>
        <w:lang w:eastAsia="en-US"/>
      </w:rPr>
      <w:fldChar w:fldCharType="end"/>
    </w:r>
    <w:r w:rsidR="00BB4E7B">
      <w:rPr>
        <w:rFonts w:asciiTheme="minorHAnsi" w:eastAsiaTheme="minorHAnsi" w:hAnsiTheme="minorHAnsi" w:cstheme="minorBidi"/>
        <w:b/>
        <w:sz w:val="22"/>
        <w:szCs w:val="22"/>
        <w:lang w:eastAsia="en-US"/>
      </w:rPr>
      <w:fldChar w:fldCharType="end"/>
    </w:r>
    <w:r w:rsidR="00FA7DD6">
      <w:rPr>
        <w:rFonts w:asciiTheme="minorHAnsi" w:eastAsiaTheme="minorHAnsi" w:hAnsiTheme="minorHAnsi" w:cstheme="minorBidi"/>
        <w:b/>
        <w:sz w:val="22"/>
        <w:szCs w:val="22"/>
        <w:lang w:eastAsia="en-US"/>
      </w:rPr>
      <w:fldChar w:fldCharType="end"/>
    </w:r>
    <w:r w:rsidR="00F12F57">
      <w:rPr>
        <w:rFonts w:asciiTheme="minorHAnsi" w:eastAsiaTheme="minorHAnsi" w:hAnsiTheme="minorHAnsi" w:cstheme="minorBidi"/>
        <w:b/>
        <w:sz w:val="22"/>
        <w:szCs w:val="22"/>
        <w:lang w:eastAsia="en-US"/>
      </w:rPr>
      <w:fldChar w:fldCharType="end"/>
    </w:r>
    <w:r w:rsidR="00686980">
      <w:rPr>
        <w:rFonts w:asciiTheme="minorHAnsi" w:eastAsiaTheme="minorHAnsi" w:hAnsiTheme="minorHAnsi" w:cstheme="minorBidi"/>
        <w:b/>
        <w:sz w:val="22"/>
        <w:szCs w:val="22"/>
        <w:lang w:eastAsia="en-US"/>
      </w:rPr>
      <w:fldChar w:fldCharType="end"/>
    </w:r>
    <w:r w:rsidR="00CD32A5">
      <w:rPr>
        <w:rFonts w:asciiTheme="minorHAnsi" w:eastAsiaTheme="minorHAnsi" w:hAnsiTheme="minorHAnsi" w:cstheme="minorBidi"/>
        <w:b/>
        <w:sz w:val="22"/>
        <w:szCs w:val="22"/>
        <w:lang w:eastAsia="en-US"/>
      </w:rPr>
      <w:fldChar w:fldCharType="end"/>
    </w:r>
    <w:r w:rsidR="003F1D77">
      <w:rPr>
        <w:rFonts w:asciiTheme="minorHAnsi" w:eastAsiaTheme="minorHAnsi" w:hAnsiTheme="minorHAnsi" w:cstheme="minorBidi"/>
        <w:b/>
        <w:sz w:val="22"/>
        <w:szCs w:val="22"/>
        <w:lang w:eastAsia="en-US"/>
      </w:rPr>
      <w:fldChar w:fldCharType="end"/>
    </w:r>
    <w:r w:rsidR="00DE7E9F">
      <w:rPr>
        <w:rFonts w:asciiTheme="minorHAnsi" w:eastAsiaTheme="minorHAnsi" w:hAnsiTheme="minorHAnsi" w:cstheme="minorBidi"/>
        <w:b/>
        <w:sz w:val="22"/>
        <w:szCs w:val="22"/>
        <w:lang w:eastAsia="en-US"/>
      </w:rPr>
      <w:fldChar w:fldCharType="end"/>
    </w:r>
    <w:r w:rsidR="00EE2DBC">
      <w:rPr>
        <w:rFonts w:asciiTheme="minorHAnsi" w:eastAsiaTheme="minorHAnsi" w:hAnsiTheme="minorHAnsi" w:cstheme="minorBidi"/>
        <w:b/>
        <w:sz w:val="22"/>
        <w:szCs w:val="22"/>
        <w:lang w:eastAsia="en-US"/>
      </w:rPr>
      <w:fldChar w:fldCharType="end"/>
    </w:r>
    <w:r w:rsidR="0095082E">
      <w:rPr>
        <w:rFonts w:asciiTheme="minorHAnsi" w:eastAsiaTheme="minorHAnsi" w:hAnsiTheme="minorHAnsi" w:cstheme="minorBidi"/>
        <w:b/>
        <w:sz w:val="22"/>
        <w:szCs w:val="22"/>
        <w:lang w:eastAsia="en-US"/>
      </w:rPr>
      <w:fldChar w:fldCharType="end"/>
    </w:r>
    <w:r w:rsidR="00DC0F00">
      <w:rPr>
        <w:rFonts w:asciiTheme="minorHAnsi" w:eastAsiaTheme="minorHAnsi" w:hAnsiTheme="minorHAnsi" w:cstheme="minorBidi"/>
        <w:b/>
        <w:sz w:val="22"/>
        <w:szCs w:val="22"/>
        <w:lang w:eastAsia="en-US"/>
      </w:rPr>
      <w:fldChar w:fldCharType="end"/>
    </w:r>
    <w:r w:rsidR="00A30A77">
      <w:rPr>
        <w:rFonts w:asciiTheme="minorHAnsi" w:eastAsiaTheme="minorHAnsi" w:hAnsiTheme="minorHAnsi" w:cstheme="minorBidi"/>
        <w:b/>
        <w:sz w:val="22"/>
        <w:szCs w:val="22"/>
        <w:lang w:eastAsia="en-US"/>
      </w:rPr>
      <w:fldChar w:fldCharType="end"/>
    </w:r>
    <w:r w:rsidR="008D71D3">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6"/>
  </w:num>
  <w:num w:numId="4">
    <w:abstractNumId w:val="15"/>
  </w:num>
  <w:num w:numId="5">
    <w:abstractNumId w:val="3"/>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9"/>
  </w:num>
  <w:num w:numId="11">
    <w:abstractNumId w:val="8"/>
  </w:num>
  <w:num w:numId="12">
    <w:abstractNumId w:val="7"/>
  </w:num>
  <w:num w:numId="13">
    <w:abstractNumId w:val="10"/>
  </w:num>
  <w:num w:numId="14">
    <w:abstractNumId w:val="13"/>
  </w:num>
  <w:num w:numId="15">
    <w:abstractNumId w:val="9"/>
  </w:num>
  <w:num w:numId="16">
    <w:abstractNumId w:val="17"/>
  </w:num>
  <w:num w:numId="17">
    <w:abstractNumId w:val="1"/>
  </w:num>
  <w:num w:numId="18">
    <w:abstractNumId w:val="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57F4"/>
    <w:rsid w:val="00006255"/>
    <w:rsid w:val="00013AAF"/>
    <w:rsid w:val="00031036"/>
    <w:rsid w:val="0005144B"/>
    <w:rsid w:val="0005628F"/>
    <w:rsid w:val="000605D7"/>
    <w:rsid w:val="00074DA5"/>
    <w:rsid w:val="00081104"/>
    <w:rsid w:val="000812BE"/>
    <w:rsid w:val="000860A8"/>
    <w:rsid w:val="000A0CD1"/>
    <w:rsid w:val="000B2E5D"/>
    <w:rsid w:val="000C1D7B"/>
    <w:rsid w:val="000C5AFA"/>
    <w:rsid w:val="000D2028"/>
    <w:rsid w:val="000D5665"/>
    <w:rsid w:val="000E0F56"/>
    <w:rsid w:val="000E11DA"/>
    <w:rsid w:val="000E1F45"/>
    <w:rsid w:val="000E4B5C"/>
    <w:rsid w:val="000F1651"/>
    <w:rsid w:val="000F4D00"/>
    <w:rsid w:val="0010003D"/>
    <w:rsid w:val="00100AFC"/>
    <w:rsid w:val="001030E1"/>
    <w:rsid w:val="00144AB8"/>
    <w:rsid w:val="00146EBC"/>
    <w:rsid w:val="001511DD"/>
    <w:rsid w:val="001521A8"/>
    <w:rsid w:val="0015340B"/>
    <w:rsid w:val="00157531"/>
    <w:rsid w:val="0017543A"/>
    <w:rsid w:val="00187988"/>
    <w:rsid w:val="001A046B"/>
    <w:rsid w:val="001A6175"/>
    <w:rsid w:val="001A75DA"/>
    <w:rsid w:val="001C7352"/>
    <w:rsid w:val="001E03FB"/>
    <w:rsid w:val="001E7ACE"/>
    <w:rsid w:val="001F16D5"/>
    <w:rsid w:val="001F3862"/>
    <w:rsid w:val="001F68F1"/>
    <w:rsid w:val="002006D9"/>
    <w:rsid w:val="00202B64"/>
    <w:rsid w:val="0020330E"/>
    <w:rsid w:val="00203789"/>
    <w:rsid w:val="002065BA"/>
    <w:rsid w:val="0023460F"/>
    <w:rsid w:val="00244CBE"/>
    <w:rsid w:val="00245EF6"/>
    <w:rsid w:val="00260111"/>
    <w:rsid w:val="00260ADD"/>
    <w:rsid w:val="00265126"/>
    <w:rsid w:val="002728AC"/>
    <w:rsid w:val="00280C0A"/>
    <w:rsid w:val="00285B71"/>
    <w:rsid w:val="00286E77"/>
    <w:rsid w:val="0029056D"/>
    <w:rsid w:val="0029123B"/>
    <w:rsid w:val="00295360"/>
    <w:rsid w:val="002A5556"/>
    <w:rsid w:val="002B0F16"/>
    <w:rsid w:val="002C49E5"/>
    <w:rsid w:val="002D3040"/>
    <w:rsid w:val="002E7949"/>
    <w:rsid w:val="002F0CB8"/>
    <w:rsid w:val="0030009B"/>
    <w:rsid w:val="00300E54"/>
    <w:rsid w:val="003015FF"/>
    <w:rsid w:val="00304565"/>
    <w:rsid w:val="00320504"/>
    <w:rsid w:val="00341041"/>
    <w:rsid w:val="00350573"/>
    <w:rsid w:val="00356691"/>
    <w:rsid w:val="00360667"/>
    <w:rsid w:val="00367C96"/>
    <w:rsid w:val="003B52EB"/>
    <w:rsid w:val="003C1552"/>
    <w:rsid w:val="003C45CE"/>
    <w:rsid w:val="003E4041"/>
    <w:rsid w:val="003F1D77"/>
    <w:rsid w:val="003F73AF"/>
    <w:rsid w:val="00400E1B"/>
    <w:rsid w:val="00403776"/>
    <w:rsid w:val="00404FDB"/>
    <w:rsid w:val="0041326F"/>
    <w:rsid w:val="00427362"/>
    <w:rsid w:val="00435756"/>
    <w:rsid w:val="00436226"/>
    <w:rsid w:val="00443039"/>
    <w:rsid w:val="004455B7"/>
    <w:rsid w:val="00450CAB"/>
    <w:rsid w:val="00452B2A"/>
    <w:rsid w:val="004570F3"/>
    <w:rsid w:val="0048397C"/>
    <w:rsid w:val="004A46C3"/>
    <w:rsid w:val="004B2919"/>
    <w:rsid w:val="004C02AD"/>
    <w:rsid w:val="004C40A8"/>
    <w:rsid w:val="004C57AF"/>
    <w:rsid w:val="004C5F9B"/>
    <w:rsid w:val="004C7323"/>
    <w:rsid w:val="004C7973"/>
    <w:rsid w:val="004D3EA4"/>
    <w:rsid w:val="00523D7D"/>
    <w:rsid w:val="00540CCB"/>
    <w:rsid w:val="00547EE8"/>
    <w:rsid w:val="00553D1D"/>
    <w:rsid w:val="00561360"/>
    <w:rsid w:val="0058017D"/>
    <w:rsid w:val="005852FD"/>
    <w:rsid w:val="00594D4C"/>
    <w:rsid w:val="005A01D3"/>
    <w:rsid w:val="005A197D"/>
    <w:rsid w:val="005A1FEB"/>
    <w:rsid w:val="005A2456"/>
    <w:rsid w:val="005A72CD"/>
    <w:rsid w:val="005B701D"/>
    <w:rsid w:val="005F01E5"/>
    <w:rsid w:val="00613D44"/>
    <w:rsid w:val="00621388"/>
    <w:rsid w:val="00631F20"/>
    <w:rsid w:val="00632449"/>
    <w:rsid w:val="006435A1"/>
    <w:rsid w:val="006464BB"/>
    <w:rsid w:val="0065145C"/>
    <w:rsid w:val="006671B2"/>
    <w:rsid w:val="00667246"/>
    <w:rsid w:val="006675D4"/>
    <w:rsid w:val="00674B7F"/>
    <w:rsid w:val="00683103"/>
    <w:rsid w:val="00686980"/>
    <w:rsid w:val="0069721B"/>
    <w:rsid w:val="0069782E"/>
    <w:rsid w:val="006A5CE6"/>
    <w:rsid w:val="006B0D71"/>
    <w:rsid w:val="006C402A"/>
    <w:rsid w:val="006C52C7"/>
    <w:rsid w:val="006E39AB"/>
    <w:rsid w:val="006E3DDA"/>
    <w:rsid w:val="006E6412"/>
    <w:rsid w:val="006F26BD"/>
    <w:rsid w:val="006F3A5C"/>
    <w:rsid w:val="00702112"/>
    <w:rsid w:val="007024FE"/>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13DE3"/>
    <w:rsid w:val="008164F2"/>
    <w:rsid w:val="00820418"/>
    <w:rsid w:val="0084028F"/>
    <w:rsid w:val="00847969"/>
    <w:rsid w:val="00847F37"/>
    <w:rsid w:val="008515B2"/>
    <w:rsid w:val="008625A3"/>
    <w:rsid w:val="00870441"/>
    <w:rsid w:val="00875AD9"/>
    <w:rsid w:val="00885008"/>
    <w:rsid w:val="008A0533"/>
    <w:rsid w:val="008A4C20"/>
    <w:rsid w:val="008A6EF3"/>
    <w:rsid w:val="008B139D"/>
    <w:rsid w:val="008C0B14"/>
    <w:rsid w:val="008C5282"/>
    <w:rsid w:val="008C61E8"/>
    <w:rsid w:val="008D12B9"/>
    <w:rsid w:val="008D71D3"/>
    <w:rsid w:val="008E5B07"/>
    <w:rsid w:val="008F6E8C"/>
    <w:rsid w:val="00903E93"/>
    <w:rsid w:val="00910B45"/>
    <w:rsid w:val="0092120F"/>
    <w:rsid w:val="00940A78"/>
    <w:rsid w:val="0095082E"/>
    <w:rsid w:val="0095138F"/>
    <w:rsid w:val="009617EC"/>
    <w:rsid w:val="0096188D"/>
    <w:rsid w:val="009662CF"/>
    <w:rsid w:val="00974D08"/>
    <w:rsid w:val="009759B2"/>
    <w:rsid w:val="00984A4E"/>
    <w:rsid w:val="00984BD8"/>
    <w:rsid w:val="0098766A"/>
    <w:rsid w:val="00994B7C"/>
    <w:rsid w:val="009A213F"/>
    <w:rsid w:val="009B249E"/>
    <w:rsid w:val="009D4FE0"/>
    <w:rsid w:val="009D798E"/>
    <w:rsid w:val="009E0B0F"/>
    <w:rsid w:val="009E24F3"/>
    <w:rsid w:val="009E58D6"/>
    <w:rsid w:val="009F330D"/>
    <w:rsid w:val="009F7E9D"/>
    <w:rsid w:val="00A1797A"/>
    <w:rsid w:val="00A30A77"/>
    <w:rsid w:val="00A364C4"/>
    <w:rsid w:val="00A444C9"/>
    <w:rsid w:val="00A52A53"/>
    <w:rsid w:val="00A9096A"/>
    <w:rsid w:val="00AA4708"/>
    <w:rsid w:val="00AB1676"/>
    <w:rsid w:val="00AB5672"/>
    <w:rsid w:val="00AB76DC"/>
    <w:rsid w:val="00AB7C4D"/>
    <w:rsid w:val="00AC2757"/>
    <w:rsid w:val="00AC6158"/>
    <w:rsid w:val="00AD4509"/>
    <w:rsid w:val="00AD6EE4"/>
    <w:rsid w:val="00AF2658"/>
    <w:rsid w:val="00AF2BDA"/>
    <w:rsid w:val="00B0256D"/>
    <w:rsid w:val="00B0358A"/>
    <w:rsid w:val="00B10846"/>
    <w:rsid w:val="00B1511A"/>
    <w:rsid w:val="00B22B3F"/>
    <w:rsid w:val="00B23AC1"/>
    <w:rsid w:val="00B32080"/>
    <w:rsid w:val="00B47D3D"/>
    <w:rsid w:val="00B61595"/>
    <w:rsid w:val="00B63E87"/>
    <w:rsid w:val="00B730EE"/>
    <w:rsid w:val="00B73531"/>
    <w:rsid w:val="00B755B3"/>
    <w:rsid w:val="00B7732F"/>
    <w:rsid w:val="00B904D5"/>
    <w:rsid w:val="00B91956"/>
    <w:rsid w:val="00B97FDE"/>
    <w:rsid w:val="00BA003C"/>
    <w:rsid w:val="00BA140B"/>
    <w:rsid w:val="00BA1700"/>
    <w:rsid w:val="00BB4E7B"/>
    <w:rsid w:val="00BC38F6"/>
    <w:rsid w:val="00BC3FC3"/>
    <w:rsid w:val="00BC4CEC"/>
    <w:rsid w:val="00BC74FC"/>
    <w:rsid w:val="00BD3556"/>
    <w:rsid w:val="00BE1AE9"/>
    <w:rsid w:val="00BE672B"/>
    <w:rsid w:val="00BE7D01"/>
    <w:rsid w:val="00C10F75"/>
    <w:rsid w:val="00C14F9F"/>
    <w:rsid w:val="00C159E1"/>
    <w:rsid w:val="00C15B7F"/>
    <w:rsid w:val="00C24A4A"/>
    <w:rsid w:val="00C261F2"/>
    <w:rsid w:val="00C41D2E"/>
    <w:rsid w:val="00C51D2E"/>
    <w:rsid w:val="00C64435"/>
    <w:rsid w:val="00C65535"/>
    <w:rsid w:val="00C709AD"/>
    <w:rsid w:val="00C7399A"/>
    <w:rsid w:val="00C74EDE"/>
    <w:rsid w:val="00C81C61"/>
    <w:rsid w:val="00C86BC5"/>
    <w:rsid w:val="00C9365C"/>
    <w:rsid w:val="00C955EC"/>
    <w:rsid w:val="00CA11B8"/>
    <w:rsid w:val="00CA4D7F"/>
    <w:rsid w:val="00CD32A5"/>
    <w:rsid w:val="00CD416A"/>
    <w:rsid w:val="00CE2FDE"/>
    <w:rsid w:val="00CE744E"/>
    <w:rsid w:val="00CF1380"/>
    <w:rsid w:val="00CF2D1F"/>
    <w:rsid w:val="00CF62D5"/>
    <w:rsid w:val="00CF66F6"/>
    <w:rsid w:val="00D06B20"/>
    <w:rsid w:val="00D2780A"/>
    <w:rsid w:val="00D435A5"/>
    <w:rsid w:val="00D44913"/>
    <w:rsid w:val="00D51505"/>
    <w:rsid w:val="00D56938"/>
    <w:rsid w:val="00D5698E"/>
    <w:rsid w:val="00D70A28"/>
    <w:rsid w:val="00D973A7"/>
    <w:rsid w:val="00DB40B9"/>
    <w:rsid w:val="00DC0F00"/>
    <w:rsid w:val="00DD52E6"/>
    <w:rsid w:val="00DE64F7"/>
    <w:rsid w:val="00DE7131"/>
    <w:rsid w:val="00DE7E9F"/>
    <w:rsid w:val="00E01DBF"/>
    <w:rsid w:val="00E12100"/>
    <w:rsid w:val="00E2551E"/>
    <w:rsid w:val="00E26DB5"/>
    <w:rsid w:val="00E34649"/>
    <w:rsid w:val="00E406D0"/>
    <w:rsid w:val="00E42587"/>
    <w:rsid w:val="00E72DCD"/>
    <w:rsid w:val="00E82DB8"/>
    <w:rsid w:val="00E87F62"/>
    <w:rsid w:val="00E96AC7"/>
    <w:rsid w:val="00E96BED"/>
    <w:rsid w:val="00EA63BE"/>
    <w:rsid w:val="00EA68BB"/>
    <w:rsid w:val="00EB1A11"/>
    <w:rsid w:val="00EB37DB"/>
    <w:rsid w:val="00EC6950"/>
    <w:rsid w:val="00ED1AEC"/>
    <w:rsid w:val="00ED4687"/>
    <w:rsid w:val="00EE2DBC"/>
    <w:rsid w:val="00EE3215"/>
    <w:rsid w:val="00EE6650"/>
    <w:rsid w:val="00F00734"/>
    <w:rsid w:val="00F01714"/>
    <w:rsid w:val="00F029CD"/>
    <w:rsid w:val="00F051A0"/>
    <w:rsid w:val="00F0586B"/>
    <w:rsid w:val="00F12F57"/>
    <w:rsid w:val="00F17664"/>
    <w:rsid w:val="00F22817"/>
    <w:rsid w:val="00F43C04"/>
    <w:rsid w:val="00F553D1"/>
    <w:rsid w:val="00F61786"/>
    <w:rsid w:val="00F61D89"/>
    <w:rsid w:val="00F6408D"/>
    <w:rsid w:val="00F65CBD"/>
    <w:rsid w:val="00F65EC5"/>
    <w:rsid w:val="00F71B30"/>
    <w:rsid w:val="00F87245"/>
    <w:rsid w:val="00F9746C"/>
    <w:rsid w:val="00F9788E"/>
    <w:rsid w:val="00FA3A8E"/>
    <w:rsid w:val="00FA7DD6"/>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character" w:customStyle="1" w:styleId="SinespaciadoCar">
    <w:name w:val="Sin espaciado Car"/>
    <w:link w:val="Sinespaciado"/>
    <w:uiPriority w:val="1"/>
    <w:locked/>
    <w:rsid w:val="000C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1CB4-02EF-467A-A44C-A67AD8EF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1926</Words>
  <Characters>10599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7</cp:revision>
  <cp:lastPrinted>2019-09-03T13:37:00Z</cp:lastPrinted>
  <dcterms:created xsi:type="dcterms:W3CDTF">2019-09-03T12:51:00Z</dcterms:created>
  <dcterms:modified xsi:type="dcterms:W3CDTF">2019-09-03T13:49:00Z</dcterms:modified>
</cp:coreProperties>
</file>